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A4" w:rsidRDefault="00ED19A4" w:rsidP="00ED19A4">
      <w:pPr>
        <w:shd w:val="clear" w:color="auto" w:fill="C6D9F1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OБРАЗАЦ ПОНУДЕ</w:t>
      </w:r>
    </w:p>
    <w:p w:rsidR="00ED19A4" w:rsidRPr="00D445E4" w:rsidRDefault="00ED19A4" w:rsidP="00ED19A4">
      <w:pPr>
        <w:rPr>
          <w:b/>
          <w:bCs/>
          <w:i/>
          <w:iCs/>
          <w:sz w:val="22"/>
          <w:szCs w:val="22"/>
        </w:rPr>
      </w:pPr>
    </w:p>
    <w:p w:rsidR="00ED19A4" w:rsidRPr="00D445E4" w:rsidRDefault="00ED19A4" w:rsidP="00ED19A4">
      <w:pPr>
        <w:ind w:firstLine="720"/>
        <w:jc w:val="center"/>
        <w:rPr>
          <w:i/>
          <w:iCs/>
          <w:sz w:val="22"/>
          <w:szCs w:val="22"/>
          <w:lang w:val="sr-Cyrl-CS"/>
        </w:rPr>
      </w:pPr>
      <w:r w:rsidRPr="00D445E4">
        <w:rPr>
          <w:iCs/>
          <w:sz w:val="22"/>
          <w:szCs w:val="22"/>
        </w:rPr>
        <w:t xml:space="preserve">Понуда бр ________________ од __________________ за  набавку </w:t>
      </w:r>
      <w:r w:rsidRPr="00D445E4">
        <w:rPr>
          <w:iCs/>
          <w:sz w:val="22"/>
          <w:szCs w:val="22"/>
          <w:lang w:val="sr-Cyrl-CS"/>
        </w:rPr>
        <w:t>услуга:</w:t>
      </w:r>
      <w:r w:rsidRPr="00D445E4">
        <w:rPr>
          <w:i/>
          <w:iCs/>
          <w:sz w:val="22"/>
          <w:szCs w:val="22"/>
          <w:lang w:val="sr-Cyrl-CS"/>
        </w:rPr>
        <w:t xml:space="preserve"> </w:t>
      </w:r>
    </w:p>
    <w:p w:rsidR="00ED19A4" w:rsidRPr="00D0623D" w:rsidRDefault="00ED19A4" w:rsidP="00ED19A4">
      <w:pPr>
        <w:jc w:val="both"/>
        <w:rPr>
          <w:sz w:val="22"/>
          <w:szCs w:val="22"/>
        </w:rPr>
      </w:pPr>
      <w:r w:rsidRPr="00D445E4">
        <w:rPr>
          <w:sz w:val="22"/>
          <w:szCs w:val="22"/>
          <w:lang w:val="sr-Cyrl-CS"/>
        </w:rPr>
        <w:t xml:space="preserve">Вршење стручног надзора над извођењем радова </w:t>
      </w:r>
      <w:r w:rsidRPr="00D445E4">
        <w:rPr>
          <w:sz w:val="22"/>
          <w:szCs w:val="22"/>
        </w:rPr>
        <w:t>на објекту „</w:t>
      </w:r>
      <w:r w:rsidRPr="00D445E4">
        <w:rPr>
          <w:sz w:val="22"/>
          <w:szCs w:val="22"/>
          <w:lang w:val="sr-Cyrl-CS"/>
        </w:rPr>
        <w:t>Пастеров завод“ корисника Института за јавно здравље Ниш</w:t>
      </w:r>
      <w:r>
        <w:rPr>
          <w:sz w:val="22"/>
          <w:szCs w:val="22"/>
          <w:lang w:val="sr-Cyrl-CS"/>
        </w:rPr>
        <w:t>,</w:t>
      </w:r>
      <w:r w:rsidRPr="00D445E4">
        <w:rPr>
          <w:sz w:val="22"/>
          <w:szCs w:val="22"/>
        </w:rPr>
        <w:t xml:space="preserve"> у свему према пројектној документацији Пројектанта „Електролукс“ д.о.о. Ниш   и „М.Д. ПРОЈЕКТ“ д.о.о. Ниш за:</w:t>
      </w:r>
    </w:p>
    <w:p w:rsidR="00ED19A4" w:rsidRDefault="00ED19A4" w:rsidP="00ED19A4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Е</w:t>
      </w:r>
      <w:r w:rsidRPr="00107FF7">
        <w:rPr>
          <w:sz w:val="22"/>
          <w:szCs w:val="22"/>
        </w:rPr>
        <w:t xml:space="preserve">лектроенергетске </w:t>
      </w:r>
      <w:r>
        <w:rPr>
          <w:sz w:val="22"/>
          <w:szCs w:val="22"/>
        </w:rPr>
        <w:t>инсталације</w:t>
      </w:r>
    </w:p>
    <w:p w:rsidR="00ED19A4" w:rsidRDefault="00ED19A4" w:rsidP="00ED19A4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Телекомуникационе исталације и системи</w:t>
      </w:r>
    </w:p>
    <w:p w:rsidR="00ED19A4" w:rsidRPr="0016430B" w:rsidRDefault="00ED19A4" w:rsidP="00ED19A4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Стабилни систем за дојаву пожару </w:t>
      </w:r>
    </w:p>
    <w:p w:rsidR="00ED19A4" w:rsidRPr="0016430B" w:rsidRDefault="00ED19A4" w:rsidP="0016430B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Зграда Пастеровог завода је</w:t>
      </w:r>
      <w:r w:rsidRPr="00494D4D">
        <w:rPr>
          <w:sz w:val="22"/>
          <w:szCs w:val="22"/>
        </w:rPr>
        <w:t xml:space="preserve"> </w:t>
      </w:r>
      <w:hyperlink r:id="rId6" w:tooltip="Непокретна културна добра" w:history="1">
        <w:r w:rsidRPr="00FD03D0">
          <w:rPr>
            <w:rStyle w:val="Hyperlink"/>
            <w:rFonts w:eastAsiaTheme="majorEastAsia"/>
            <w:color w:val="auto"/>
            <w:sz w:val="22"/>
            <w:szCs w:val="22"/>
            <w:u w:val="none"/>
          </w:rPr>
          <w:t>непокретно културно добро</w:t>
        </w:r>
      </w:hyperlink>
      <w:r w:rsidRPr="00FD03D0">
        <w:rPr>
          <w:sz w:val="22"/>
          <w:szCs w:val="22"/>
        </w:rPr>
        <w:t xml:space="preserve"> као </w:t>
      </w:r>
      <w:hyperlink r:id="rId7" w:history="1">
        <w:r w:rsidRPr="00FD03D0">
          <w:rPr>
            <w:rStyle w:val="Hyperlink"/>
            <w:rFonts w:eastAsiaTheme="majorEastAsia"/>
            <w:color w:val="auto"/>
            <w:sz w:val="22"/>
            <w:szCs w:val="22"/>
            <w:u w:val="none"/>
          </w:rPr>
          <w:t>споменик културе</w:t>
        </w:r>
      </w:hyperlink>
      <w:r w:rsidRPr="00FD03D0">
        <w:rPr>
          <w:sz w:val="22"/>
          <w:szCs w:val="22"/>
        </w:rPr>
        <w:t xml:space="preserve"> о</w:t>
      </w:r>
      <w:r w:rsidRPr="00494D4D">
        <w:rPr>
          <w:sz w:val="22"/>
          <w:szCs w:val="22"/>
        </w:rPr>
        <w:t>д великог значаја.</w:t>
      </w:r>
    </w:p>
    <w:p w:rsidR="00ED19A4" w:rsidRPr="0016430B" w:rsidRDefault="00ED19A4" w:rsidP="0016430B">
      <w:pPr>
        <w:pStyle w:val="ListParagraph"/>
        <w:numPr>
          <w:ilvl w:val="0"/>
          <w:numId w:val="1"/>
        </w:numPr>
        <w:jc w:val="center"/>
        <w:rPr>
          <w:b/>
          <w:bCs/>
          <w:i/>
          <w:iCs/>
        </w:rPr>
      </w:pPr>
      <w:r w:rsidRPr="002E3BCE">
        <w:rPr>
          <w:b/>
          <w:bCs/>
          <w:i/>
          <w:iCs/>
        </w:rPr>
        <w:t>ОПШТИ ПОДАЦИ О ПОНУЂАЧУ</w:t>
      </w: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621"/>
        <w:gridCol w:w="4650"/>
      </w:tblGrid>
      <w:tr w:rsidR="00ED19A4" w:rsidTr="00FA00E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9A4" w:rsidRDefault="00ED19A4" w:rsidP="00FA00E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Назив понуђача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A4" w:rsidRDefault="00ED19A4" w:rsidP="00FA00E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ED19A4" w:rsidRDefault="00ED19A4" w:rsidP="00FA00E8">
            <w:pPr>
              <w:rPr>
                <w:b/>
                <w:bCs/>
                <w:i/>
                <w:iCs/>
                <w:lang w:val="ru-RU"/>
              </w:rPr>
            </w:pPr>
          </w:p>
          <w:p w:rsidR="00ED19A4" w:rsidRDefault="00ED19A4" w:rsidP="00FA00E8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ED19A4" w:rsidTr="00FA00E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9A4" w:rsidRDefault="00ED19A4" w:rsidP="00FA00E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Адреса понуђача:</w:t>
            </w:r>
          </w:p>
          <w:p w:rsidR="00ED19A4" w:rsidRDefault="00ED19A4" w:rsidP="00FA00E8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A4" w:rsidRDefault="00ED19A4" w:rsidP="00FA00E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ED19A4" w:rsidRDefault="00ED19A4" w:rsidP="00FA00E8">
            <w:pPr>
              <w:rPr>
                <w:b/>
                <w:bCs/>
                <w:i/>
                <w:iCs/>
                <w:lang w:val="ru-RU"/>
              </w:rPr>
            </w:pPr>
          </w:p>
          <w:p w:rsidR="00ED19A4" w:rsidRDefault="00ED19A4" w:rsidP="00FA00E8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ED19A4" w:rsidTr="00FA00E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9A4" w:rsidRDefault="00ED19A4" w:rsidP="00FA00E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A4" w:rsidRDefault="00ED19A4" w:rsidP="00FA00E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ED19A4" w:rsidRPr="00D55D26" w:rsidRDefault="00ED19A4" w:rsidP="00FA00E8">
            <w:pPr>
              <w:rPr>
                <w:b/>
                <w:bCs/>
                <w:i/>
                <w:iCs/>
                <w:lang w:val="sr-Latn-RS"/>
              </w:rPr>
            </w:pPr>
          </w:p>
        </w:tc>
      </w:tr>
      <w:tr w:rsidR="00ED19A4" w:rsidTr="00FA00E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9A4" w:rsidRDefault="00ED19A4" w:rsidP="00FA00E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Порески идентификациони број понуђача (ПИБ):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A4" w:rsidRDefault="00ED19A4" w:rsidP="00FA00E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ED19A4" w:rsidTr="00FA00E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9A4" w:rsidRDefault="00ED19A4" w:rsidP="00FA00E8">
            <w:pPr>
              <w:jc w:val="both"/>
              <w:rPr>
                <w:i/>
                <w:iCs/>
                <w:lang w:val="sr-Cyrl-CS"/>
              </w:rPr>
            </w:pPr>
          </w:p>
          <w:p w:rsidR="00ED19A4" w:rsidRPr="00D0623D" w:rsidRDefault="00ED19A4" w:rsidP="00FA00E8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Име особе за контакт: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A4" w:rsidRDefault="00ED19A4" w:rsidP="00FA00E8">
            <w:pPr>
              <w:snapToGrid w:val="0"/>
              <w:rPr>
                <w:b/>
                <w:bCs/>
                <w:i/>
                <w:iCs/>
              </w:rPr>
            </w:pPr>
          </w:p>
          <w:p w:rsidR="00ED19A4" w:rsidRDefault="00ED19A4" w:rsidP="00FA00E8">
            <w:pPr>
              <w:rPr>
                <w:b/>
                <w:bCs/>
                <w:i/>
                <w:iCs/>
              </w:rPr>
            </w:pPr>
          </w:p>
          <w:p w:rsidR="00ED19A4" w:rsidRDefault="00ED19A4" w:rsidP="00FA00E8">
            <w:pPr>
              <w:rPr>
                <w:b/>
                <w:bCs/>
                <w:i/>
                <w:iCs/>
              </w:rPr>
            </w:pPr>
          </w:p>
        </w:tc>
      </w:tr>
      <w:tr w:rsidR="00ED19A4" w:rsidTr="00FA00E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9A4" w:rsidRDefault="00ED19A4" w:rsidP="00FA00E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Електронска адреса понуђача (</w:t>
            </w:r>
            <w:r>
              <w:rPr>
                <w:i/>
                <w:iCs/>
              </w:rPr>
              <w:t>e</w:t>
            </w:r>
            <w:r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</w:rPr>
              <w:t>mail</w:t>
            </w:r>
            <w:r>
              <w:rPr>
                <w:i/>
                <w:iCs/>
                <w:lang w:val="ru-RU"/>
              </w:rPr>
              <w:t>):</w:t>
            </w:r>
          </w:p>
          <w:p w:rsidR="00ED19A4" w:rsidRDefault="00ED19A4" w:rsidP="00FA00E8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A4" w:rsidRDefault="00ED19A4" w:rsidP="00FA00E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ED19A4" w:rsidTr="00FA00E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9A4" w:rsidRPr="00D0623D" w:rsidRDefault="00ED19A4" w:rsidP="00FA00E8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Телефон: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A4" w:rsidRDefault="00ED19A4" w:rsidP="00FA00E8">
            <w:pPr>
              <w:rPr>
                <w:b/>
                <w:bCs/>
                <w:i/>
                <w:iCs/>
              </w:rPr>
            </w:pPr>
          </w:p>
        </w:tc>
      </w:tr>
      <w:tr w:rsidR="00ED19A4" w:rsidTr="00FA00E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9A4" w:rsidRDefault="00ED19A4" w:rsidP="00FA00E8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Телефакс: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A4" w:rsidRDefault="00ED19A4" w:rsidP="00FA00E8">
            <w:pPr>
              <w:rPr>
                <w:b/>
                <w:bCs/>
                <w:i/>
                <w:iCs/>
              </w:rPr>
            </w:pPr>
          </w:p>
        </w:tc>
      </w:tr>
      <w:tr w:rsidR="00ED19A4" w:rsidTr="00FA00E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9A4" w:rsidRDefault="00ED19A4" w:rsidP="00FA00E8">
            <w:pPr>
              <w:jc w:val="both"/>
              <w:rPr>
                <w:i/>
                <w:iCs/>
                <w:lang w:val="ru-RU"/>
              </w:rPr>
            </w:pPr>
          </w:p>
          <w:p w:rsidR="00ED19A4" w:rsidRDefault="00ED19A4" w:rsidP="00FA00E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A4" w:rsidRDefault="00ED19A4" w:rsidP="00FA00E8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ED19A4" w:rsidRDefault="00ED19A4" w:rsidP="00FA00E8">
            <w:pPr>
              <w:rPr>
                <w:b/>
                <w:bCs/>
                <w:i/>
                <w:iCs/>
                <w:lang w:val="ru-RU"/>
              </w:rPr>
            </w:pPr>
          </w:p>
          <w:p w:rsidR="00ED19A4" w:rsidRDefault="00ED19A4" w:rsidP="00FA00E8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ED19A4" w:rsidTr="00FA00E8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9A4" w:rsidRDefault="00ED19A4" w:rsidP="00FA00E8">
            <w:pPr>
              <w:jc w:val="both"/>
              <w:rPr>
                <w:i/>
                <w:iCs/>
                <w:lang w:val="ru-RU"/>
              </w:rPr>
            </w:pPr>
          </w:p>
          <w:p w:rsidR="00ED19A4" w:rsidRDefault="00ED19A4" w:rsidP="00FA00E8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A4" w:rsidRDefault="00ED19A4" w:rsidP="00FA00E8">
            <w:pPr>
              <w:snapToGrid w:val="0"/>
              <w:ind w:firstLine="708"/>
              <w:rPr>
                <w:b/>
                <w:bCs/>
                <w:i/>
                <w:iCs/>
                <w:lang w:val="ru-RU"/>
              </w:rPr>
            </w:pPr>
          </w:p>
          <w:p w:rsidR="00ED19A4" w:rsidRDefault="00ED19A4" w:rsidP="00FA00E8">
            <w:pPr>
              <w:ind w:firstLine="708"/>
              <w:rPr>
                <w:b/>
                <w:bCs/>
                <w:i/>
                <w:iCs/>
                <w:lang w:val="ru-RU"/>
              </w:rPr>
            </w:pPr>
          </w:p>
          <w:p w:rsidR="00ED19A4" w:rsidRDefault="00ED19A4" w:rsidP="00FA00E8">
            <w:pPr>
              <w:ind w:firstLine="708"/>
              <w:rPr>
                <w:b/>
                <w:bCs/>
                <w:i/>
                <w:iCs/>
                <w:lang w:val="ru-RU"/>
              </w:rPr>
            </w:pPr>
          </w:p>
        </w:tc>
      </w:tr>
    </w:tbl>
    <w:p w:rsidR="00ED19A4" w:rsidRPr="0025090D" w:rsidRDefault="00ED19A4" w:rsidP="00ED19A4">
      <w:pPr>
        <w:rPr>
          <w:lang w:val="sr-Cyrl-CS"/>
        </w:rPr>
      </w:pPr>
    </w:p>
    <w:tbl>
      <w:tblPr>
        <w:tblW w:w="93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2"/>
      </w:tblGrid>
      <w:tr w:rsidR="00ED19A4" w:rsidRPr="0025090D" w:rsidTr="00FA00E8">
        <w:trPr>
          <w:trHeight w:val="327"/>
        </w:trPr>
        <w:tc>
          <w:tcPr>
            <w:tcW w:w="9382" w:type="dxa"/>
          </w:tcPr>
          <w:p w:rsidR="00ED19A4" w:rsidRPr="008C498A" w:rsidRDefault="00ED19A4" w:rsidP="00FA00E8">
            <w:pPr>
              <w:jc w:val="center"/>
              <w:rPr>
                <w:lang w:val="sr-Cyrl-CS"/>
              </w:rPr>
            </w:pPr>
            <w:r w:rsidRPr="0025090D">
              <w:t>Oпис</w:t>
            </w:r>
            <w:r w:rsidRPr="008C498A">
              <w:rPr>
                <w:lang w:val="sr-Cyrl-CS"/>
              </w:rPr>
              <w:t xml:space="preserve"> услуге</w:t>
            </w:r>
          </w:p>
        </w:tc>
      </w:tr>
      <w:tr w:rsidR="00ED19A4" w:rsidRPr="00B25CCE" w:rsidTr="00FA00E8">
        <w:trPr>
          <w:trHeight w:val="834"/>
        </w:trPr>
        <w:tc>
          <w:tcPr>
            <w:tcW w:w="9382" w:type="dxa"/>
          </w:tcPr>
          <w:p w:rsidR="00ED19A4" w:rsidRPr="0016430B" w:rsidRDefault="00ED19A4" w:rsidP="00FA00E8">
            <w:pPr>
              <w:jc w:val="both"/>
            </w:pPr>
            <w:r>
              <w:rPr>
                <w:noProof/>
                <w:sz w:val="22"/>
                <w:szCs w:val="22"/>
                <w:lang w:val="sr-Latn-CS"/>
              </w:rPr>
              <w:t>Надзорни орган се обавезује врш</w:t>
            </w:r>
            <w:r>
              <w:rPr>
                <w:noProof/>
                <w:sz w:val="22"/>
                <w:szCs w:val="22"/>
              </w:rPr>
              <w:t>и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послова стручног надзора </w:t>
            </w:r>
            <w:r w:rsidRPr="00B25CCE">
              <w:rPr>
                <w:iCs/>
                <w:sz w:val="22"/>
                <w:szCs w:val="22"/>
                <w:lang w:val="sr-Cyrl-CS"/>
              </w:rPr>
              <w:t>над извођењем радова</w:t>
            </w:r>
            <w:r>
              <w:rPr>
                <w:iCs/>
                <w:sz w:val="22"/>
                <w:szCs w:val="22"/>
                <w:lang w:val="sr-Cyrl-CS"/>
              </w:rPr>
              <w:t xml:space="preserve"> </w:t>
            </w:r>
            <w:r w:rsidRPr="00D445E4">
              <w:rPr>
                <w:sz w:val="22"/>
                <w:szCs w:val="22"/>
              </w:rPr>
              <w:t>на објекту „</w:t>
            </w:r>
            <w:r w:rsidRPr="00D445E4">
              <w:rPr>
                <w:sz w:val="22"/>
                <w:szCs w:val="22"/>
                <w:lang w:val="sr-Cyrl-CS"/>
              </w:rPr>
              <w:t>Пастеров завод“ корисника Института за јавно здравље Ниш</w:t>
            </w:r>
            <w:r>
              <w:rPr>
                <w:sz w:val="22"/>
                <w:szCs w:val="22"/>
                <w:lang w:val="sr-Cyrl-CS"/>
              </w:rPr>
              <w:t>,</w:t>
            </w:r>
            <w:r w:rsidRPr="00D445E4">
              <w:rPr>
                <w:sz w:val="22"/>
                <w:szCs w:val="22"/>
              </w:rPr>
              <w:t xml:space="preserve"> у свему према пројектној документацији Пројектанта „Електролукс“ д.о.о. Ниш   и „М.Д. ПРОЈЕКТ“ д.о.о. Ниш за:</w:t>
            </w:r>
          </w:p>
          <w:p w:rsidR="00ED19A4" w:rsidRDefault="00ED19A4" w:rsidP="00FA00E8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rPr>
                <w:sz w:val="22"/>
                <w:szCs w:val="22"/>
              </w:rPr>
              <w:t>Е</w:t>
            </w:r>
            <w:r w:rsidRPr="00107FF7">
              <w:rPr>
                <w:sz w:val="22"/>
                <w:szCs w:val="22"/>
              </w:rPr>
              <w:t xml:space="preserve">лектроенергетске </w:t>
            </w:r>
            <w:r>
              <w:rPr>
                <w:sz w:val="22"/>
                <w:szCs w:val="22"/>
              </w:rPr>
              <w:t>инсталације</w:t>
            </w:r>
          </w:p>
          <w:p w:rsidR="00ED19A4" w:rsidRDefault="00ED19A4" w:rsidP="00FA00E8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rPr>
                <w:sz w:val="22"/>
                <w:szCs w:val="22"/>
              </w:rPr>
              <w:t>Телекомуникационе исталације и системи</w:t>
            </w:r>
          </w:p>
          <w:p w:rsidR="00ED19A4" w:rsidRPr="00F635DA" w:rsidRDefault="00ED19A4" w:rsidP="00F635DA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rPr>
                <w:sz w:val="22"/>
                <w:szCs w:val="22"/>
              </w:rPr>
              <w:t xml:space="preserve">Стабилни систем за дојаву пожару </w:t>
            </w:r>
          </w:p>
          <w:p w:rsidR="00ED19A4" w:rsidRPr="00FD03D0" w:rsidRDefault="00ED19A4" w:rsidP="00FA00E8">
            <w:pPr>
              <w:jc w:val="both"/>
            </w:pPr>
            <w:r>
              <w:rPr>
                <w:sz w:val="22"/>
                <w:szCs w:val="22"/>
                <w:lang w:val="sr-Cyrl-CS"/>
              </w:rPr>
              <w:t>Зграда Пастеровог завода је</w:t>
            </w:r>
            <w:r w:rsidRPr="002E3BCE">
              <w:rPr>
                <w:sz w:val="22"/>
                <w:szCs w:val="22"/>
              </w:rPr>
              <w:t xml:space="preserve"> </w:t>
            </w:r>
            <w:hyperlink r:id="rId8" w:tooltip="Непокретна културна добра" w:history="1">
              <w:r w:rsidRPr="00FD03D0">
                <w:rPr>
                  <w:rStyle w:val="Hyperlink"/>
                  <w:rFonts w:eastAsiaTheme="majorEastAsia"/>
                  <w:color w:val="auto"/>
                  <w:sz w:val="22"/>
                  <w:szCs w:val="22"/>
                  <w:u w:val="none"/>
                </w:rPr>
                <w:t>непокретно културно добро</w:t>
              </w:r>
            </w:hyperlink>
            <w:r w:rsidR="0016430B">
              <w:rPr>
                <w:sz w:val="22"/>
                <w:szCs w:val="22"/>
              </w:rPr>
              <w:t>-</w:t>
            </w:r>
            <w:r w:rsidRPr="00FD03D0">
              <w:rPr>
                <w:sz w:val="22"/>
                <w:szCs w:val="22"/>
              </w:rPr>
              <w:t xml:space="preserve"> </w:t>
            </w:r>
            <w:hyperlink r:id="rId9" w:history="1">
              <w:r w:rsidRPr="00FD03D0">
                <w:rPr>
                  <w:rStyle w:val="Hyperlink"/>
                  <w:rFonts w:eastAsiaTheme="majorEastAsia"/>
                  <w:color w:val="auto"/>
                  <w:sz w:val="22"/>
                  <w:szCs w:val="22"/>
                  <w:u w:val="none"/>
                </w:rPr>
                <w:t>споменик културе</w:t>
              </w:r>
            </w:hyperlink>
            <w:r w:rsidRPr="00FD03D0">
              <w:rPr>
                <w:sz w:val="22"/>
                <w:szCs w:val="22"/>
              </w:rPr>
              <w:t xml:space="preserve"> од великог значаја.</w:t>
            </w:r>
          </w:p>
          <w:p w:rsidR="00ED19A4" w:rsidRDefault="00ED19A4" w:rsidP="00FA00E8">
            <w:pPr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Надзорни орган се обавезује да, у складу са стручним компетенцијама и правилима струке:</w:t>
            </w:r>
          </w:p>
          <w:p w:rsidR="00ED19A4" w:rsidRPr="00494D4D" w:rsidRDefault="00ED19A4" w:rsidP="00FA00E8">
            <w:pPr>
              <w:jc w:val="both"/>
              <w:rPr>
                <w:noProof/>
              </w:rPr>
            </w:pPr>
            <w:r>
              <w:rPr>
                <w:iCs/>
                <w:sz w:val="22"/>
                <w:szCs w:val="22"/>
              </w:rPr>
              <w:t>-Учествује у изради конкурсне документације за извођење предметних радова;</w:t>
            </w:r>
          </w:p>
          <w:p w:rsidR="00ED19A4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 xml:space="preserve">-Врши контролу да ли се извођење радова обавља у складу са техничком документацијом и  у складу са понудом коју је Извођач радова поднео, </w:t>
            </w:r>
          </w:p>
          <w:p w:rsidR="00ED19A4" w:rsidRPr="00B25CCE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</w:rPr>
              <w:t>- Б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лаговремено предузима неопходне мере којима обавештава Наручиоца писаним путем </w:t>
            </w:r>
            <w:r>
              <w:rPr>
                <w:noProof/>
                <w:sz w:val="22"/>
                <w:szCs w:val="22"/>
              </w:rPr>
              <w:t xml:space="preserve">уколико дође до 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извршавања радова који </w:t>
            </w:r>
            <w:r>
              <w:rPr>
                <w:noProof/>
                <w:sz w:val="22"/>
                <w:szCs w:val="22"/>
                <w:lang w:val="sr-Latn-CS"/>
              </w:rPr>
              <w:t>нису у складу са документацијом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о постојању одступ</w:t>
            </w:r>
            <w:r>
              <w:rPr>
                <w:noProof/>
                <w:sz w:val="22"/>
                <w:szCs w:val="22"/>
                <w:lang w:val="sr-Latn-CS"/>
              </w:rPr>
              <w:t>ања од техничке документације</w:t>
            </w:r>
            <w:r>
              <w:rPr>
                <w:noProof/>
                <w:sz w:val="22"/>
                <w:szCs w:val="22"/>
              </w:rPr>
              <w:t>, у року од једног дана</w:t>
            </w:r>
            <w:r w:rsidRPr="00B25CCE">
              <w:rPr>
                <w:noProof/>
                <w:sz w:val="22"/>
                <w:szCs w:val="22"/>
                <w:lang w:val="sr-Latn-CS"/>
              </w:rPr>
              <w:t>;</w:t>
            </w:r>
          </w:p>
          <w:p w:rsidR="00ED19A4" w:rsidRPr="00C745E2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lastRenderedPageBreak/>
              <w:t>- Врши контролу примене свих мера безбедности и здравља на раду и  Наручиоца и Изво</w:t>
            </w:r>
            <w:r w:rsidRPr="00B25CCE">
              <w:rPr>
                <w:noProof/>
                <w:sz w:val="22"/>
                <w:szCs w:val="22"/>
                <w:lang w:val="sr-Cyrl-CS"/>
              </w:rPr>
              <w:t>ђ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ача радова писаним путем обавештава у року од </w:t>
            </w:r>
            <w:r w:rsidRPr="00B25CCE">
              <w:rPr>
                <w:noProof/>
                <w:sz w:val="22"/>
                <w:szCs w:val="22"/>
              </w:rPr>
              <w:t>једног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дана од дана када је дош</w:t>
            </w:r>
            <w:r w:rsidRPr="00B25CCE">
              <w:rPr>
                <w:noProof/>
                <w:sz w:val="22"/>
                <w:szCs w:val="22"/>
              </w:rPr>
              <w:t>л</w:t>
            </w:r>
            <w:r w:rsidRPr="00B25CCE">
              <w:rPr>
                <w:noProof/>
                <w:sz w:val="22"/>
                <w:szCs w:val="22"/>
                <w:lang w:val="sr-Latn-CS"/>
              </w:rPr>
              <w:t>о до одступања од примене наведених прописа, о томе да се наведени прописи не примењују</w:t>
            </w:r>
            <w:r>
              <w:rPr>
                <w:noProof/>
                <w:sz w:val="22"/>
                <w:szCs w:val="22"/>
              </w:rPr>
              <w:t>;</w:t>
            </w:r>
          </w:p>
          <w:p w:rsidR="00ED19A4" w:rsidRPr="00B25CCE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 Редовно и благовремено прати квалитет радова који се изводе и провера да ли се примењују услови и мере утврђени законом и другим прописима, стандардима и техничким нормативима;</w:t>
            </w:r>
          </w:p>
          <w:p w:rsidR="00ED19A4" w:rsidRPr="00B25CCE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-Врши сталну контролу квалитета материјала, опреме и инсталација који се уграђују и провера да ли су исти снабдевени потребним атестима, сертификатима и другом документацијом којом се доказује њихов квалитет;</w:t>
            </w:r>
          </w:p>
          <w:p w:rsidR="00ED19A4" w:rsidRPr="00B25CCE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 xml:space="preserve">-Редовно прати динамику извођења радова и усклађености са уговореним роковима и благовремено, а најкасније у року од </w:t>
            </w:r>
            <w:r w:rsidRPr="00B25CCE">
              <w:rPr>
                <w:noProof/>
                <w:sz w:val="22"/>
                <w:szCs w:val="22"/>
              </w:rPr>
              <w:t>једног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дана од дана одступања од уговорене динамике, писаним путем</w:t>
            </w:r>
            <w:r>
              <w:rPr>
                <w:noProof/>
                <w:sz w:val="22"/>
                <w:szCs w:val="22"/>
                <w:lang w:val="sr-Latn-CS"/>
              </w:rPr>
              <w:t xml:space="preserve"> обавештава и Наручиоца и Изво</w:t>
            </w:r>
            <w:r>
              <w:rPr>
                <w:noProof/>
                <w:sz w:val="22"/>
                <w:szCs w:val="22"/>
              </w:rPr>
              <w:t>ђ</w:t>
            </w:r>
            <w:r w:rsidRPr="00B25CCE">
              <w:rPr>
                <w:noProof/>
                <w:sz w:val="22"/>
                <w:szCs w:val="22"/>
                <w:lang w:val="sr-Latn-CS"/>
              </w:rPr>
              <w:t>ача радова, и то путем састављања писаног извештаја који садрже релевантне информације о одступању од рокова, као и разлоге за одступање од уговорених рокова;</w:t>
            </w:r>
          </w:p>
          <w:p w:rsidR="00ED19A4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-Благовремено уочава све промене и предузима потребне мере, а нарочито води рачуна о контроли и квалитету изведених радова који се према природи и динамици радова не могу проверити у каснијим фазама изградње;</w:t>
            </w:r>
          </w:p>
          <w:p w:rsidR="00ED19A4" w:rsidRPr="008D5732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-Врши контролу демонтираног материјала и његово одвајање на употребљив и деградиран материјал, о чему уноси податке у грађевински дневник, како се употребљив материјал и материјал који има тржишну вредност не би извезао на депонију;</w:t>
            </w:r>
          </w:p>
          <w:p w:rsidR="00ED19A4" w:rsidRPr="00B25CCE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-Даје упутстава извођачу радова, а нарочито у случаја одступања од ра</w:t>
            </w:r>
            <w:r>
              <w:rPr>
                <w:noProof/>
                <w:sz w:val="22"/>
                <w:szCs w:val="22"/>
                <w:lang w:val="sr-Latn-CS"/>
              </w:rPr>
              <w:t>дова, од техничке документације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и у случају промене услова радова;</w:t>
            </w:r>
          </w:p>
          <w:p w:rsidR="00ED19A4" w:rsidRPr="006D66E1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-Решава и сва друга питања током извођења радова</w:t>
            </w:r>
            <w:r>
              <w:rPr>
                <w:noProof/>
                <w:sz w:val="22"/>
                <w:szCs w:val="22"/>
              </w:rPr>
              <w:t>;</w:t>
            </w:r>
          </w:p>
          <w:p w:rsidR="00ED19A4" w:rsidRPr="00B25CCE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-Врши контролу уношења података у грађевински дневник и оверава грађевински дневник;</w:t>
            </w:r>
          </w:p>
          <w:p w:rsidR="00ED19A4" w:rsidRPr="00B25CCE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  <w:lang w:val="sr-Latn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t>-Врши оверу привремених ситуација;</w:t>
            </w:r>
          </w:p>
          <w:p w:rsidR="00ED19A4" w:rsidRPr="00B25CCE" w:rsidRDefault="00ED19A4" w:rsidP="00FA00E8">
            <w:pPr>
              <w:autoSpaceDE w:val="0"/>
              <w:autoSpaceDN w:val="0"/>
              <w:adjustRightInd w:val="0"/>
              <w:jc w:val="both"/>
              <w:rPr>
                <w:noProof/>
                <w:lang w:val="sr-Cyrl-CS"/>
              </w:rPr>
            </w:pPr>
            <w:r w:rsidRPr="00B25CCE">
              <w:rPr>
                <w:noProof/>
                <w:sz w:val="22"/>
                <w:szCs w:val="22"/>
                <w:lang w:val="sr-Latn-CS"/>
              </w:rPr>
              <w:br w:type="page"/>
              <w:t>-Непосредно учествује у изради коначног обрачуна (оверава обрачунске листове грађевинске књиге)</w:t>
            </w:r>
            <w:r>
              <w:rPr>
                <w:noProof/>
                <w:sz w:val="22"/>
                <w:szCs w:val="22"/>
              </w:rPr>
              <w:t xml:space="preserve"> и 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Pr="00B25CCE">
              <w:rPr>
                <w:noProof/>
                <w:sz w:val="22"/>
                <w:szCs w:val="22"/>
              </w:rPr>
              <w:t>у</w:t>
            </w:r>
            <w:r w:rsidRPr="00B25CCE">
              <w:rPr>
                <w:noProof/>
                <w:sz w:val="22"/>
                <w:szCs w:val="22"/>
                <w:lang w:val="sr-Latn-CS"/>
              </w:rPr>
              <w:t xml:space="preserve"> поступку примопредаје изведених радова (овера записника о извршеним радовима).</w:t>
            </w:r>
          </w:p>
        </w:tc>
      </w:tr>
    </w:tbl>
    <w:p w:rsidR="00ED19A4" w:rsidRPr="00B25CCE" w:rsidRDefault="00ED19A4" w:rsidP="00ED19A4">
      <w:pPr>
        <w:jc w:val="both"/>
        <w:rPr>
          <w:rFonts w:eastAsia="TimesNewRomanPSMT"/>
          <w:b/>
          <w:bCs/>
          <w:sz w:val="22"/>
          <w:szCs w:val="22"/>
          <w:lang w:val="sr-Cyrl-CS"/>
        </w:rPr>
      </w:pPr>
    </w:p>
    <w:p w:rsidR="00ED19A4" w:rsidRPr="00B25CCE" w:rsidRDefault="00ED19A4" w:rsidP="00ED19A4">
      <w:pPr>
        <w:ind w:firstLine="720"/>
        <w:jc w:val="both"/>
        <w:rPr>
          <w:sz w:val="22"/>
          <w:szCs w:val="22"/>
          <w:lang w:val="sr-Cyrl-CS"/>
        </w:rPr>
      </w:pPr>
      <w:r w:rsidRPr="00B25CCE">
        <w:rPr>
          <w:sz w:val="22"/>
          <w:szCs w:val="22"/>
          <w:lang w:val="sv-SE"/>
        </w:rPr>
        <w:t xml:space="preserve">У складу са стандардима, нормативима и прописима из ове области, </w:t>
      </w:r>
      <w:r w:rsidRPr="00B25CCE">
        <w:rPr>
          <w:sz w:val="22"/>
          <w:szCs w:val="22"/>
          <w:lang w:val="sr-Cyrl-CS"/>
        </w:rPr>
        <w:t>достављамо</w:t>
      </w:r>
      <w:r w:rsidRPr="00B25CCE">
        <w:rPr>
          <w:sz w:val="22"/>
          <w:szCs w:val="22"/>
          <w:lang w:val="sv-SE"/>
        </w:rPr>
        <w:t xml:space="preserve"> </w:t>
      </w:r>
    </w:p>
    <w:p w:rsidR="00ED19A4" w:rsidRDefault="00ED19A4" w:rsidP="00ED19A4">
      <w:pPr>
        <w:jc w:val="both"/>
        <w:rPr>
          <w:rFonts w:asciiTheme="minorHAnsi" w:hAnsiTheme="minorHAnsi"/>
          <w:sz w:val="22"/>
          <w:szCs w:val="22"/>
        </w:rPr>
      </w:pPr>
      <w:r w:rsidRPr="00B25CCE">
        <w:rPr>
          <w:sz w:val="22"/>
          <w:szCs w:val="22"/>
          <w:lang w:val="sr-Cyrl-CS"/>
        </w:rPr>
        <w:t>в</w:t>
      </w:r>
      <w:r w:rsidRPr="00B25CCE">
        <w:rPr>
          <w:sz w:val="22"/>
          <w:szCs w:val="22"/>
          <w:lang w:val="sv-SE"/>
        </w:rPr>
        <w:t>ам понуду</w:t>
      </w:r>
      <w:r w:rsidRPr="00B25CCE">
        <w:rPr>
          <w:sz w:val="22"/>
          <w:szCs w:val="22"/>
        </w:rPr>
        <w:t xml:space="preserve"> 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у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износу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од</w:t>
      </w:r>
      <w:r w:rsidRPr="00B25CCE">
        <w:rPr>
          <w:sz w:val="22"/>
          <w:szCs w:val="22"/>
          <w:lang w:val="sv-SE"/>
        </w:rPr>
        <w:t xml:space="preserve"> __________</w:t>
      </w:r>
      <w:r>
        <w:rPr>
          <w:sz w:val="22"/>
          <w:szCs w:val="22"/>
          <w:lang w:val="sr-Cyrl-CS"/>
        </w:rPr>
        <w:t>____</w:t>
      </w:r>
      <w:r>
        <w:rPr>
          <w:sz w:val="22"/>
          <w:szCs w:val="22"/>
        </w:rPr>
        <w:t>динара,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без</w:t>
      </w:r>
      <w:r w:rsidRPr="00B25CCE">
        <w:rPr>
          <w:rFonts w:ascii="Times Roman YU" w:hAnsi="Times Roman YU"/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ПДВ</w:t>
      </w:r>
      <w:r w:rsidRPr="00B25CCE">
        <w:rPr>
          <w:rFonts w:asciiTheme="minorHAnsi" w:hAnsiTheme="minorHAnsi"/>
          <w:sz w:val="22"/>
          <w:szCs w:val="22"/>
        </w:rPr>
        <w:t>-</w:t>
      </w:r>
      <w:r w:rsidRPr="00B25CCE">
        <w:rPr>
          <w:sz w:val="22"/>
          <w:szCs w:val="22"/>
          <w:lang w:val="sr-Cyrl-CS"/>
        </w:rPr>
        <w:t>а</w:t>
      </w:r>
      <w:r w:rsidRPr="00B25CCE">
        <w:rPr>
          <w:rFonts w:ascii="Times Roman YU" w:hAnsi="Times Roman YU"/>
          <w:sz w:val="22"/>
          <w:szCs w:val="22"/>
          <w:lang w:val="sv-SE"/>
        </w:rPr>
        <w:t>.</w:t>
      </w:r>
    </w:p>
    <w:p w:rsidR="00ED19A4" w:rsidRPr="003E079B" w:rsidRDefault="00ED19A4" w:rsidP="00ED19A4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94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77"/>
        <w:gridCol w:w="4524"/>
      </w:tblGrid>
      <w:tr w:rsidR="00ED19A4" w:rsidRPr="003E079B" w:rsidTr="00FA00E8">
        <w:trPr>
          <w:trHeight w:val="537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9A4" w:rsidRPr="003E079B" w:rsidRDefault="00ED19A4" w:rsidP="00FA00E8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  <w:p w:rsidR="00ED19A4" w:rsidRPr="003E079B" w:rsidRDefault="00ED19A4" w:rsidP="00FA00E8">
            <w:pPr>
              <w:jc w:val="both"/>
              <w:rPr>
                <w:rFonts w:eastAsia="TimesNewRomanPSMT"/>
                <w:bCs/>
                <w:lang w:val="ru-RU"/>
              </w:rPr>
            </w:pP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Имена лица која</w:t>
            </w:r>
            <w:r w:rsidRPr="003E079B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ће вршити надзор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9A4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  <w:p w:rsidR="00ED19A4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  <w:p w:rsidR="00ED19A4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  <w:p w:rsidR="00ED19A4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  <w:p w:rsidR="00ED19A4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  <w:p w:rsidR="00ED19A4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  <w:p w:rsidR="00ED19A4" w:rsidRPr="003E079B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ED19A4" w:rsidRPr="003E079B" w:rsidTr="00D55D26">
        <w:trPr>
          <w:trHeight w:val="1321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9A4" w:rsidRPr="003E079B" w:rsidRDefault="00ED19A4" w:rsidP="00FA00E8">
            <w:pPr>
              <w:jc w:val="both"/>
              <w:rPr>
                <w:rFonts w:eastAsia="TimesNewRomanPSMT"/>
                <w:bCs/>
              </w:rPr>
            </w:pP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Број важећих лиценц</w:t>
            </w:r>
            <w:r>
              <w:rPr>
                <w:rFonts w:eastAsia="TimesNewRomanPSMT"/>
                <w:bCs/>
                <w:sz w:val="22"/>
                <w:szCs w:val="22"/>
              </w:rPr>
              <w:t>и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Pr="003E079B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лица које ће вршити надзор </w:t>
            </w:r>
            <w:r w:rsidRPr="003E079B">
              <w:rPr>
                <w:rFonts w:eastAsia="TimesNewRomanPSMT"/>
                <w:bCs/>
                <w:sz w:val="22"/>
                <w:szCs w:val="22"/>
              </w:rPr>
              <w:t>(на основу увида у техничку спецификацију радова)</w:t>
            </w:r>
          </w:p>
          <w:p w:rsidR="00ED19A4" w:rsidRPr="00FD03D0" w:rsidRDefault="00ED19A4" w:rsidP="00FA00E8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  <w:r w:rsidRPr="00FD03D0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Уз понуду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доставити фотокопију лиценце са потврдом о њеној важности.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9A4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  <w:p w:rsidR="00ED19A4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  <w:p w:rsidR="00ED19A4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  <w:p w:rsidR="00ED19A4" w:rsidRPr="00D55D26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sr-Latn-RS"/>
              </w:rPr>
            </w:pPr>
          </w:p>
          <w:p w:rsidR="00ED19A4" w:rsidRPr="003E079B" w:rsidRDefault="00ED19A4" w:rsidP="00FA00E8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ED19A4" w:rsidRPr="003E079B" w:rsidTr="00FA00E8">
        <w:trPr>
          <w:trHeight w:val="523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9A4" w:rsidRPr="003E079B" w:rsidRDefault="00ED19A4" w:rsidP="00FA00E8">
            <w:pPr>
              <w:jc w:val="both"/>
              <w:rPr>
                <w:rFonts w:eastAsia="TimesNewRomanPSMT"/>
                <w:bCs/>
                <w:lang w:val="ru-RU"/>
              </w:rPr>
            </w:pPr>
            <w:r w:rsidRPr="003E079B">
              <w:rPr>
                <w:rFonts w:eastAsia="TimesNewRomanPSMT"/>
                <w:bCs/>
                <w:sz w:val="22"/>
                <w:szCs w:val="22"/>
                <w:lang w:val="ru-RU"/>
              </w:rPr>
              <w:t>Рок важења понуде (не може бити крађи од 30 дана):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9A4" w:rsidRPr="003E079B" w:rsidRDefault="00ED19A4" w:rsidP="00FA00E8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  <w:tr w:rsidR="00ED19A4" w:rsidRPr="003E079B" w:rsidTr="00D55D26">
        <w:trPr>
          <w:trHeight w:val="541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9A4" w:rsidRPr="003E079B" w:rsidRDefault="00ED19A4" w:rsidP="00FA00E8">
            <w:pPr>
              <w:jc w:val="both"/>
              <w:rPr>
                <w:rFonts w:eastAsia="TimesNewRomanPSMT"/>
                <w:bCs/>
                <w:lang w:val="ru-RU"/>
              </w:rPr>
            </w:pPr>
            <w:r w:rsidRPr="003E079B">
              <w:rPr>
                <w:rFonts w:eastAsia="TimesNewRomanPSMT"/>
                <w:bCs/>
                <w:sz w:val="22"/>
                <w:szCs w:val="22"/>
                <w:lang w:val="ru-RU"/>
              </w:rPr>
              <w:t>Рок плаћања износи: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9A4" w:rsidRPr="003E079B" w:rsidRDefault="00ED19A4" w:rsidP="00FA00E8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</w:tbl>
    <w:p w:rsidR="00ED19A4" w:rsidRPr="003E079B" w:rsidRDefault="00ED19A4" w:rsidP="00ED19A4">
      <w:pPr>
        <w:jc w:val="both"/>
        <w:rPr>
          <w:rFonts w:eastAsia="TimesNewRomanPSMT"/>
          <w:b/>
          <w:bCs/>
          <w:lang w:val="sr-Cyrl-CS"/>
        </w:rPr>
      </w:pPr>
    </w:p>
    <w:p w:rsidR="00ED19A4" w:rsidRPr="003E079B" w:rsidRDefault="00ED19A4" w:rsidP="00ED19A4">
      <w:pPr>
        <w:ind w:left="720" w:firstLine="720"/>
        <w:jc w:val="both"/>
        <w:rPr>
          <w:rFonts w:eastAsia="TimesNewRomanPSMT"/>
          <w:bCs/>
          <w:sz w:val="22"/>
          <w:szCs w:val="22"/>
        </w:rPr>
      </w:pPr>
      <w:r w:rsidRPr="003E079B">
        <w:rPr>
          <w:rFonts w:eastAsia="TimesNewRomanPSMT"/>
          <w:bCs/>
          <w:sz w:val="22"/>
          <w:szCs w:val="22"/>
        </w:rPr>
        <w:t xml:space="preserve">Датум </w:t>
      </w:r>
      <w:r w:rsidRPr="003E079B">
        <w:rPr>
          <w:rFonts w:eastAsia="TimesNewRomanPSMT"/>
          <w:bCs/>
          <w:sz w:val="22"/>
          <w:szCs w:val="22"/>
        </w:rPr>
        <w:tab/>
      </w:r>
      <w:r w:rsidRPr="003E079B">
        <w:rPr>
          <w:rFonts w:eastAsia="TimesNewRomanPSMT"/>
          <w:bCs/>
          <w:sz w:val="22"/>
          <w:szCs w:val="22"/>
        </w:rPr>
        <w:tab/>
      </w:r>
      <w:r w:rsidRPr="003E079B">
        <w:rPr>
          <w:rFonts w:eastAsia="TimesNewRomanPSMT"/>
          <w:bCs/>
          <w:sz w:val="22"/>
          <w:szCs w:val="22"/>
        </w:rPr>
        <w:tab/>
      </w:r>
      <w:r w:rsidRPr="003E079B">
        <w:rPr>
          <w:rFonts w:eastAsia="TimesNewRomanPSMT"/>
          <w:bCs/>
          <w:sz w:val="22"/>
          <w:szCs w:val="22"/>
        </w:rPr>
        <w:tab/>
      </w:r>
      <w:r w:rsidRPr="003E079B">
        <w:rPr>
          <w:rFonts w:eastAsia="TimesNewRomanPSMT"/>
          <w:bCs/>
          <w:sz w:val="22"/>
          <w:szCs w:val="22"/>
        </w:rPr>
        <w:tab/>
        <w:t xml:space="preserve">             </w:t>
      </w:r>
      <w:r w:rsidRPr="003E079B">
        <w:rPr>
          <w:rFonts w:eastAsia="TimesNewRomanPSMT"/>
          <w:bCs/>
          <w:sz w:val="22"/>
          <w:szCs w:val="22"/>
          <w:lang w:val="sr-Cyrl-CS"/>
        </w:rPr>
        <w:t xml:space="preserve">     </w:t>
      </w:r>
      <w:r w:rsidRPr="003E079B">
        <w:rPr>
          <w:rFonts w:eastAsia="TimesNewRomanPSMT"/>
          <w:bCs/>
          <w:sz w:val="22"/>
          <w:szCs w:val="22"/>
        </w:rPr>
        <w:t xml:space="preserve"> Понуђач</w:t>
      </w:r>
    </w:p>
    <w:p w:rsidR="00ED19A4" w:rsidRPr="003E079B" w:rsidRDefault="00ED19A4" w:rsidP="00ED19A4">
      <w:pPr>
        <w:ind w:left="2880" w:firstLine="720"/>
        <w:jc w:val="both"/>
        <w:rPr>
          <w:rFonts w:eastAsia="TimesNewRomanPS-BoldMT"/>
          <w:b/>
          <w:bCs/>
          <w:i/>
          <w:iCs/>
          <w:color w:val="002060"/>
          <w:sz w:val="22"/>
          <w:szCs w:val="22"/>
        </w:rPr>
      </w:pPr>
      <w:r w:rsidRPr="003E079B">
        <w:rPr>
          <w:rFonts w:eastAsia="TimesNewRomanPSMT"/>
          <w:bCs/>
          <w:sz w:val="22"/>
          <w:szCs w:val="22"/>
        </w:rPr>
        <w:t xml:space="preserve">    М. П. </w:t>
      </w:r>
    </w:p>
    <w:p w:rsidR="00ED19A4" w:rsidRDefault="00ED19A4" w:rsidP="00ED19A4">
      <w:pPr>
        <w:jc w:val="both"/>
      </w:pPr>
      <w:r w:rsidRPr="003E079B">
        <w:rPr>
          <w:rFonts w:eastAsia="TimesNewRomanPS-BoldMT"/>
          <w:b/>
          <w:bCs/>
          <w:i/>
          <w:iCs/>
          <w:color w:val="002060"/>
          <w:sz w:val="22"/>
          <w:szCs w:val="22"/>
        </w:rPr>
        <w:t>_____________________________</w:t>
      </w:r>
      <w:r w:rsidRPr="003E079B">
        <w:rPr>
          <w:rFonts w:eastAsia="TimesNewRomanPS-BoldMT"/>
          <w:b/>
          <w:bCs/>
          <w:i/>
          <w:iCs/>
          <w:color w:val="002060"/>
          <w:sz w:val="22"/>
          <w:szCs w:val="22"/>
        </w:rPr>
        <w:tab/>
      </w:r>
      <w:r w:rsidRPr="003E079B">
        <w:rPr>
          <w:rFonts w:eastAsia="TimesNewRomanPS-BoldMT"/>
          <w:b/>
          <w:bCs/>
          <w:i/>
          <w:iCs/>
          <w:color w:val="002060"/>
          <w:sz w:val="22"/>
          <w:szCs w:val="22"/>
        </w:rPr>
        <w:tab/>
      </w:r>
      <w:r w:rsidRPr="003E079B">
        <w:rPr>
          <w:rFonts w:eastAsia="TimesNewRomanPS-BoldMT"/>
          <w:b/>
          <w:bCs/>
          <w:i/>
          <w:iCs/>
          <w:color w:val="002060"/>
          <w:sz w:val="22"/>
          <w:szCs w:val="22"/>
        </w:rPr>
        <w:tab/>
        <w:t>________________________________</w:t>
      </w:r>
    </w:p>
    <w:p w:rsidR="00ED19A4" w:rsidRDefault="00ED19A4" w:rsidP="00ED19A4">
      <w:pPr>
        <w:jc w:val="both"/>
      </w:pPr>
      <w:bookmarkStart w:id="0" w:name="_GoBack"/>
      <w:bookmarkEnd w:id="0"/>
    </w:p>
    <w:sectPr w:rsidR="00ED19A4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0E9F"/>
    <w:multiLevelType w:val="hybridMultilevel"/>
    <w:tmpl w:val="20CEF516"/>
    <w:lvl w:ilvl="0" w:tplc="031ED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207B3B"/>
    <w:multiLevelType w:val="hybridMultilevel"/>
    <w:tmpl w:val="20CEF516"/>
    <w:lvl w:ilvl="0" w:tplc="031ED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1758C3"/>
    <w:multiLevelType w:val="hybridMultilevel"/>
    <w:tmpl w:val="A1E2E384"/>
    <w:lvl w:ilvl="0" w:tplc="1E7281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D19A4"/>
    <w:rsid w:val="000B54FC"/>
    <w:rsid w:val="001614E1"/>
    <w:rsid w:val="0016430B"/>
    <w:rsid w:val="00174869"/>
    <w:rsid w:val="0018052D"/>
    <w:rsid w:val="0062799A"/>
    <w:rsid w:val="00711722"/>
    <w:rsid w:val="00D0623D"/>
    <w:rsid w:val="00D40190"/>
    <w:rsid w:val="00D55D26"/>
    <w:rsid w:val="00E43E94"/>
    <w:rsid w:val="00ED19A4"/>
    <w:rsid w:val="00F6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19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D1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r.wikipedia.org/wiki/%D0%9D%D0%B5%D0%BF%D0%BE%D0%BA%D1%80%D0%B5%D1%82%D0%BD%D0%B0_%D0%BA%D1%83%D0%BB%D1%82%D1%83%D1%80%D0%BD%D0%B0_%D0%B4%D0%BE%D0%B1%D1%80%D0%B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r.wikipedia.org/wiki/%D0%A1%D0%BF%D0%BE%D0%BC%D0%B5%D0%BD%D0%B8%D0%BA_%D0%BA%D1%83%D0%BB%D1%82%D1%83%D1%80%D0%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r.wikipedia.org/wiki/%D0%9D%D0%B5%D0%BF%D0%BE%D0%BA%D1%80%D0%B5%D1%82%D0%BD%D0%B0_%D0%BA%D1%83%D0%BB%D1%82%D1%83%D1%80%D0%BD%D0%B0_%D0%B4%D0%BE%D0%B1%D1%80%D0%B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r.wikipedia.org/wiki/%D0%A1%D0%BF%D0%BE%D0%BC%D0%B5%D0%BD%D0%B8%D0%BA_%D0%BA%D1%83%D0%BB%D1%82%D1%83%D1%80%D0%B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8</cp:revision>
  <dcterms:created xsi:type="dcterms:W3CDTF">2022-04-14T06:57:00Z</dcterms:created>
  <dcterms:modified xsi:type="dcterms:W3CDTF">2022-04-14T08:19:00Z</dcterms:modified>
</cp:coreProperties>
</file>